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C404F">
      <w:pPr>
        <w:widowControl/>
        <w:spacing w:line="360" w:lineRule="auto"/>
        <w:jc w:val="center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color w:val="171A1D"/>
          <w:kern w:val="0"/>
          <w:sz w:val="30"/>
          <w:szCs w:val="30"/>
          <w:lang w:bidi="ar"/>
        </w:rPr>
        <w:t>理科公式场景TTS语音库录制需求文档</w:t>
      </w:r>
    </w:p>
    <w:p w14:paraId="1ECBD69E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量级：男、女声各10小时</w:t>
      </w:r>
    </w:p>
    <w:p w14:paraId="0CF51C8E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性别：最终选定一男一女</w:t>
      </w:r>
    </w:p>
    <w:p w14:paraId="32552D0F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试音提交时间：周一上午12点前，按照试音文本提供试音</w:t>
      </w:r>
    </w:p>
    <w:p w14:paraId="08AE5824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命名格式：</w:t>
      </w:r>
      <w:r>
        <w:rPr>
          <w:rFonts w:asciiTheme="minorEastAsia" w:hAnsiTheme="minorEastAsia" w:cstheme="minorEastAsia"/>
          <w:kern w:val="0"/>
          <w:sz w:val="24"/>
          <w:lang w:bidi="ar"/>
        </w:rPr>
        <w:t>性别_发音人ID.wav</w:t>
      </w:r>
    </w:p>
    <w:p w14:paraId="23781FB1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sz w:val="24"/>
        </w:rPr>
        <w:t>使用场景：用</w:t>
      </w: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于高中、大学数学及理科教学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52648F22">
      <w:pPr>
        <w:pStyle w:val="3"/>
        <w:widowControl/>
        <w:numPr>
          <w:ilvl w:val="0"/>
          <w:numId w:val="1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画像：</w:t>
      </w:r>
    </w:p>
    <w:p w14:paraId="76D3F047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1）</w:t>
      </w:r>
      <w:r>
        <w:rPr>
          <w:rFonts w:hint="eastAsia" w:asciiTheme="minorEastAsia" w:hAnsiTheme="minorEastAsia" w:cstheme="minorEastAsia"/>
          <w:color w:val="2C2C2B"/>
        </w:rPr>
        <w:t>发音人必须具备理工科背景（如理学、工学专业在校生/毕业生，或理科教师、有理工科录音经验的配音员）。</w:t>
      </w:r>
    </w:p>
    <w:p w14:paraId="3BB5C755">
      <w:pPr>
        <w:widowControl/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2）发音人必须能“一眼看懂”LaTeX 公式背后的数学物理意义，从而保证在没有明确韵律标记的地方，也能做出符合逻辑的本能停顿。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47ACE550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能力要求：</w:t>
      </w:r>
    </w:p>
    <w:p w14:paraId="4EE61B4F">
      <w:pPr>
        <w:pStyle w:val="3"/>
        <w:widowControl/>
        <w:spacing w:beforeAutospacing="0" w:afterAutospacing="0" w:line="360" w:lineRule="auto"/>
        <w:ind w:firstLine="20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1）普通话等级：不低于国家普通话水平测试“一级乙等”（发音极其标准，吐字归音规范，完全无地方口音残留）。</w:t>
      </w:r>
    </w:p>
    <w:p w14:paraId="6CB27918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2）英文发音标准（主要是数学符号和字母，如</w:t>
      </w:r>
      <w:r>
        <w:rPr>
          <w:rFonts w:hint="eastAsia" w:asciiTheme="minorEastAsia" w:hAnsiTheme="minorEastAsia" w:cstheme="minorEastAsia"/>
          <w:i/>
          <w:iCs/>
          <w:color w:val="2C2C2B"/>
          <w:kern w:val="0"/>
          <w:sz w:val="24"/>
          <w:lang w:bidi="ar"/>
        </w:rPr>
        <w:t>a</w:t>
      </w: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,</w:t>
      </w:r>
      <w:r>
        <w:rPr>
          <w:rFonts w:hint="eastAsia" w:asciiTheme="minorEastAsia" w:hAnsiTheme="minorEastAsia" w:cstheme="minorEastAsia"/>
          <w:i/>
          <w:iCs/>
          <w:color w:val="2C2C2B"/>
          <w:kern w:val="0"/>
          <w:sz w:val="24"/>
          <w:lang w:bidi="ar"/>
        </w:rPr>
        <w:t>b</w:t>
      </w: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,</w:t>
      </w:r>
      <w:r>
        <w:rPr>
          <w:rFonts w:hint="eastAsia" w:asciiTheme="minorEastAsia" w:hAnsiTheme="minorEastAsia" w:cstheme="minorEastAsia"/>
          <w:i/>
          <w:iCs/>
          <w:color w:val="2C2C2B"/>
          <w:kern w:val="0"/>
          <w:sz w:val="24"/>
          <w:lang w:bidi="ar"/>
        </w:rPr>
        <w:t>x</w:t>
      </w: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,</w:t>
      </w:r>
      <w:r>
        <w:rPr>
          <w:rFonts w:hint="eastAsia" w:asciiTheme="minorEastAsia" w:hAnsiTheme="minorEastAsia" w:cstheme="minorEastAsia"/>
          <w:i/>
          <w:iCs/>
          <w:color w:val="2C2C2B"/>
          <w:kern w:val="0"/>
          <w:sz w:val="24"/>
          <w:lang w:bidi="ar"/>
        </w:rPr>
        <w:t>y</w:t>
      </w: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,sin,cos），要求发音饱满自然，不生硬。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15DC6DEE">
      <w:pPr>
        <w:widowControl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b/>
          <w:bCs/>
          <w:color w:val="2C2C2B"/>
          <w:kern w:val="0"/>
          <w:sz w:val="24"/>
          <w:lang w:bidi="ar"/>
        </w:rPr>
        <w:t>注意：一旦确定发音人，整个数据集禁止中途换人。录音期间需保持声线状态一致（严禁感冒、沙哑、疲劳录音）。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lang w:bidi="ar"/>
        </w:rPr>
        <w:t xml:space="preserve"> </w:t>
      </w:r>
    </w:p>
    <w:p w14:paraId="4471FFA1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授权书：</w:t>
      </w:r>
      <w:r>
        <w:rPr>
          <w:rFonts w:hint="eastAsia" w:asciiTheme="minorEastAsia" w:hAnsiTheme="minorEastAsia" w:cstheme="minorEastAsia"/>
          <w:kern w:val="0"/>
          <w:sz w:val="24"/>
          <w:lang w:val="en-US" w:eastAsia="zh-CN" w:bidi="ar"/>
        </w:rPr>
        <w:t>需同意签署授权书</w:t>
      </w:r>
    </w:p>
    <w:p w14:paraId="646897DB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录音棚要求：</w:t>
      </w:r>
    </w:p>
    <w:p w14:paraId="1B969AA1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背景噪声与声场：必须在专业隔音录音棚录制（Dry Sound）。无明显混响、无空调/电脑风扇声、无喷麦（Plosives）与过重齿音。</w:t>
      </w:r>
    </w:p>
    <w:p w14:paraId="7BB6E5CE">
      <w:pPr>
        <w:pStyle w:val="3"/>
        <w:widowControl/>
        <w:numPr>
          <w:ilvl w:val="0"/>
          <w:numId w:val="2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信噪比</w:t>
      </w:r>
      <w:r>
        <w:rPr>
          <w:rFonts w:hint="eastAsia" w:asciiTheme="minorEastAsia" w:hAnsiTheme="minorEastAsia" w:cstheme="minorEastAsia"/>
          <w:b/>
          <w:bCs/>
          <w:color w:val="2C2C2B"/>
        </w:rPr>
        <w:t>(SNR)</w:t>
      </w:r>
      <w:r>
        <w:rPr>
          <w:rFonts w:hint="eastAsia" w:asciiTheme="minorEastAsia" w:hAnsiTheme="minorEastAsia" w:cstheme="minorEastAsia"/>
          <w:color w:val="2C2C2B"/>
        </w:rPr>
        <w:t>：≥ 40 dB，底噪控制在−50 dBFS 以下。</w:t>
      </w:r>
    </w:p>
    <w:p w14:paraId="329B0F71">
      <w:pPr>
        <w:pStyle w:val="3"/>
        <w:widowControl/>
        <w:numPr>
          <w:ilvl w:val="0"/>
          <w:numId w:val="2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响度一致性（关键指标）：</w:t>
      </w:r>
    </w:p>
    <w:p w14:paraId="01AC226B">
      <w:pPr>
        <w:pStyle w:val="3"/>
        <w:widowControl/>
        <w:numPr>
          <w:ilvl w:val="0"/>
          <w:numId w:val="2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平均电平</w:t>
      </w:r>
      <w:r>
        <w:rPr>
          <w:rFonts w:hint="eastAsia" w:asciiTheme="minorEastAsia" w:hAnsiTheme="minorEastAsia" w:cstheme="minorEastAsia"/>
          <w:b/>
          <w:bCs/>
          <w:color w:val="2C2C2B"/>
        </w:rPr>
        <w:t>(RMS)</w:t>
      </w:r>
      <w:r>
        <w:rPr>
          <w:rFonts w:hint="eastAsia" w:asciiTheme="minorEastAsia" w:hAnsiTheme="minorEastAsia" w:cstheme="minorEastAsia"/>
          <w:color w:val="2C2C2B"/>
        </w:rPr>
        <w:t>：严格控制在−24 dB 到−18 dB 之间。</w:t>
      </w:r>
    </w:p>
    <w:p w14:paraId="43B11779">
      <w:pPr>
        <w:pStyle w:val="3"/>
        <w:widowControl/>
        <w:numPr>
          <w:ilvl w:val="0"/>
          <w:numId w:val="2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峰值电平</w:t>
      </w:r>
      <w:r>
        <w:rPr>
          <w:rFonts w:hint="eastAsia" w:asciiTheme="minorEastAsia" w:hAnsiTheme="minorEastAsia" w:cstheme="minorEastAsia"/>
          <w:b/>
          <w:bCs/>
          <w:color w:val="2C2C2B"/>
        </w:rPr>
        <w:t>(True Peak)</w:t>
      </w:r>
      <w:r>
        <w:rPr>
          <w:rFonts w:hint="eastAsia" w:asciiTheme="minorEastAsia" w:hAnsiTheme="minorEastAsia" w:cstheme="minorEastAsia"/>
          <w:color w:val="2C2C2B"/>
        </w:rPr>
        <w:t>：控制在−6 dBFS 到−3 dBFS 之间，绝不允许出现削波（Clipping）。</w:t>
      </w:r>
      <w:bookmarkStart w:id="0" w:name="_GoBack"/>
      <w:bookmarkEnd w:id="0"/>
    </w:p>
    <w:p w14:paraId="7BDE4410">
      <w:pPr>
        <w:widowControl/>
        <w:numPr>
          <w:ilvl w:val="0"/>
          <w:numId w:val="2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整体听感：音频单条之间音量听感必须平稳一致，差异不超过±2dB。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18E6191E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试音要求：</w:t>
      </w:r>
    </w:p>
    <w:p w14:paraId="4E5E5EC0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核心发音与朗读规范（红线级）</w:t>
      </w:r>
    </w:p>
    <w:p w14:paraId="1565D733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1.字母与符号读音标准：</w:t>
      </w:r>
    </w:p>
    <w:p w14:paraId="7EFD8522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1）单字母（如a,b,x,y）：读标准的英文字母音，不得读成汉语拼音或带有地方口音（如：把x 读成“埃克斯”）。</w:t>
      </w:r>
    </w:p>
    <w:p w14:paraId="5EE95FBD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2）带下标字母（如k 1 ,an ,A 1）：严格按照自然读法朗读（如：“k 一”、“a n”、“A一”），数字部分读中文，字母与数字之间留有极微小的过渡，不得拖音。</w:t>
      </w:r>
    </w:p>
    <w:p w14:paraId="3A0AAF33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3）数学专用符号：</w:t>
      </w:r>
    </w:p>
    <w:p w14:paraId="46F013B0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sin,cos 读作“sine”、“cosine”（英文本音）。</w:t>
      </w:r>
    </w:p>
    <w:p w14:paraId="033030D1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∑ 读作“sigma”。</w:t>
      </w:r>
    </w:p>
    <w:p w14:paraId="6ACD6849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∈ 读作“属于”。</w:t>
      </w:r>
    </w:p>
    <w:p w14:paraId="6526B8B9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drawing>
          <wp:inline distT="0" distB="0" distL="114300" distR="114300">
            <wp:extent cx="121920" cy="197485"/>
            <wp:effectExtent l="0" t="0" r="1905" b="1905"/>
            <wp:docPr id="2" name="IM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2C2C2B"/>
        </w:rPr>
        <w:t>读作“不等于”。</w:t>
      </w:r>
    </w:p>
    <w:p w14:paraId="198979E2">
      <w:pPr>
        <w:pStyle w:val="3"/>
        <w:widowControl/>
        <w:numPr>
          <w:ilvl w:val="0"/>
          <w:numId w:val="3"/>
        </w:numPr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公式结构完整性（理科思维）：</w:t>
      </w:r>
    </w:p>
    <w:p w14:paraId="4A15A36D">
      <w:pPr>
        <w:pStyle w:val="3"/>
        <w:widowControl/>
        <w:spacing w:beforeAutospacing="0" w:afterAutospacing="0" w:line="360" w:lineRule="auto"/>
        <w:textAlignment w:val="center"/>
      </w:pPr>
      <w:r>
        <w:rPr>
          <w:rFonts w:ascii="宋体" w:hAnsi="宋体" w:eastAsia="宋体" w:cs="宋体"/>
          <w:color w:val="2C2C2B"/>
        </w:rPr>
        <w:t>在朗读分式（如</w:t>
      </w:r>
      <w:r>
        <w:drawing>
          <wp:inline distT="0" distB="0" distL="114300" distR="114300">
            <wp:extent cx="247650" cy="351790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2C2C2B"/>
        </w:rPr>
        <w:t xml:space="preserve"> 读作</w:t>
      </w:r>
      <w:r>
        <w:rPr>
          <w:rFonts w:ascii="新宋体" w:hAnsi="新宋体" w:eastAsia="新宋体" w:cs="新宋体"/>
          <w:color w:val="2C2C2B"/>
          <w:sz w:val="21"/>
          <w:szCs w:val="21"/>
        </w:rPr>
        <w:t>“a的平方”分之“x的平方”</w:t>
      </w:r>
      <w:r>
        <w:rPr>
          <w:rFonts w:ascii="宋体" w:hAnsi="宋体" w:eastAsia="宋体" w:cs="宋体"/>
          <w:color w:val="2C2C2B"/>
        </w:rPr>
        <w:t>）时，发音人需凭借理科背</w:t>
      </w:r>
    </w:p>
    <w:p w14:paraId="3B2B5BA6">
      <w:pPr>
        <w:widowControl/>
        <w:spacing w:line="360" w:lineRule="auto"/>
        <w:jc w:val="left"/>
        <w:rPr>
          <w:rFonts w:asciiTheme="minorEastAsia" w:hAnsiTheme="minorEastAsia" w:cstheme="minorEastAsia"/>
          <w:color w:val="2C2C2B"/>
          <w:sz w:val="24"/>
        </w:rPr>
      </w:pPr>
      <w:r>
        <w:rPr>
          <w:rFonts w:ascii="宋体" w:hAnsi="宋体" w:eastAsia="宋体" w:cs="宋体"/>
          <w:color w:val="2C2C2B"/>
          <w:kern w:val="0"/>
          <w:sz w:val="24"/>
          <w:lang w:bidi="ar"/>
        </w:rPr>
        <w:t>景，在脑中先构建“先分母、后分子”的整体画面，语流要平滑，严禁在“分之”前后出现突兀的呼吸声。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 </w:t>
      </w:r>
    </w:p>
    <w:p w14:paraId="0967BAFC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3.情绪语调定位：</w:t>
      </w:r>
    </w:p>
    <w:p w14:paraId="6B7D1A8E">
      <w:pPr>
        <w:pStyle w:val="3"/>
        <w:widowControl/>
        <w:numPr>
          <w:ilvl w:val="0"/>
          <w:numId w:val="4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严谨、清晰、自信、不拖沓。</w:t>
      </w:r>
    </w:p>
    <w:p w14:paraId="39709E97">
      <w:pPr>
        <w:widowControl/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用“面对面给学生讲题”的自然教学状态录制。杜绝毫无感情的“无脑式机械播报”，也杜绝过于高亢煽情的“销售型/少儿幼教型”语调。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tbl>
      <w:tblPr>
        <w:tblStyle w:val="4"/>
        <w:tblpPr w:leftFromText="180" w:rightFromText="180" w:vertAnchor="text" w:horzAnchor="page" w:tblpX="1684" w:tblpY="426"/>
        <w:tblOverlap w:val="never"/>
        <w:tblW w:w="972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3"/>
        <w:gridCol w:w="1840"/>
        <w:gridCol w:w="2364"/>
        <w:gridCol w:w="3629"/>
      </w:tblGrid>
      <w:tr w14:paraId="3B736D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</w:trPr>
        <w:tc>
          <w:tcPr>
            <w:tcW w:w="1893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3080DB00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韵律标记</w:t>
            </w:r>
          </w:p>
        </w:tc>
        <w:tc>
          <w:tcPr>
            <w:tcW w:w="1840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5A5E682A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对应动作</w:t>
            </w:r>
          </w:p>
        </w:tc>
        <w:tc>
          <w:tcPr>
            <w:tcW w:w="2364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72CEF2F0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停顿时间参考</w:t>
            </w:r>
          </w:p>
        </w:tc>
        <w:tc>
          <w:tcPr>
            <w:tcW w:w="3629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084ADFAC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业务逻辑与示范说明</w:t>
            </w:r>
          </w:p>
        </w:tc>
      </w:tr>
      <w:tr w14:paraId="1B39FD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893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564ED4E7">
            <w:pPr>
              <w:pStyle w:val="3"/>
              <w:widowControl/>
              <w:spacing w:beforeAutospacing="0" w:afterAutospacing="0" w:line="360" w:lineRule="auto"/>
              <w:ind w:firstLine="162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“”（双引号）</w:t>
            </w:r>
          </w:p>
        </w:tc>
        <w:tc>
          <w:tcPr>
            <w:tcW w:w="1840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294A8DE4">
            <w:pPr>
              <w:pStyle w:val="3"/>
              <w:widowControl/>
              <w:spacing w:beforeAutospacing="0" w:afterAutospacing="0" w:line="360" w:lineRule="auto"/>
              <w:jc w:val="center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公式</w:t>
            </w:r>
            <w:r>
              <w:rPr>
                <w:rFonts w:hint="eastAsia" w:asciiTheme="minorEastAsia" w:hAnsiTheme="minorEastAsia" w:cstheme="minorEastAsia"/>
                <w:b/>
                <w:bCs/>
                <w:color w:val="2C2C2B"/>
              </w:rPr>
              <w:t>/</w:t>
            </w:r>
            <w:r>
              <w:rPr>
                <w:rFonts w:hint="eastAsia" w:asciiTheme="minorEastAsia" w:hAnsiTheme="minorEastAsia" w:cstheme="minorEastAsia"/>
                <w:color w:val="2C2C2B"/>
              </w:rPr>
              <w:t>术语边界</w:t>
            </w:r>
          </w:p>
        </w:tc>
        <w:tc>
          <w:tcPr>
            <w:tcW w:w="2364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2C3233DA">
            <w:pPr>
              <w:pStyle w:val="3"/>
              <w:widowControl/>
              <w:spacing w:beforeAutospacing="0" w:afterAutospacing="0" w:line="360" w:lineRule="auto"/>
              <w:ind w:hanging="12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无停顿（连贯读出）</w:t>
            </w:r>
          </w:p>
        </w:tc>
        <w:tc>
          <w:tcPr>
            <w:tcW w:w="3629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1CFC0BBD">
            <w:pPr>
              <w:pStyle w:val="3"/>
              <w:widowControl/>
              <w:spacing w:beforeAutospacing="0" w:afterAutospacing="0" w:line="360" w:lineRule="auto"/>
              <w:ind w:hanging="2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双引号内的内容为一个完整的数学概念或公式项，严禁中途断开。</w:t>
            </w:r>
          </w:p>
          <w:p w14:paraId="0C5B0776">
            <w:pPr>
              <w:pStyle w:val="3"/>
              <w:widowControl/>
              <w:spacing w:beforeAutospacing="0" w:afterAutospacing="0" w:line="360" w:lineRule="auto"/>
              <w:ind w:hanging="2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i/>
                <w:iCs/>
                <w:color w:val="2C2C2B"/>
              </w:rPr>
              <w:t>例：“a 加b”需一气呵成，不能读成“a 加 b”。</w:t>
            </w:r>
          </w:p>
        </w:tc>
      </w:tr>
      <w:tr w14:paraId="13F02A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</w:trPr>
        <w:tc>
          <w:tcPr>
            <w:tcW w:w="1893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1ABA3EF8">
            <w:pPr>
              <w:pStyle w:val="3"/>
              <w:widowControl/>
              <w:spacing w:beforeAutospacing="0" w:afterAutospacing="0" w:line="360" w:lineRule="auto"/>
              <w:ind w:firstLine="70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~（单波浪号）</w:t>
            </w:r>
          </w:p>
        </w:tc>
        <w:tc>
          <w:tcPr>
            <w:tcW w:w="1840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760E6391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微弱停顿</w:t>
            </w:r>
          </w:p>
        </w:tc>
        <w:tc>
          <w:tcPr>
            <w:tcW w:w="2364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210EA9B7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C2C2B"/>
              </w:rPr>
              <w:t>100 –200ms</w:t>
            </w:r>
          </w:p>
        </w:tc>
        <w:tc>
          <w:tcPr>
            <w:tcW w:w="3629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4A9184A8">
            <w:pPr>
              <w:pStyle w:val="3"/>
              <w:widowControl/>
              <w:spacing w:beforeAutospacing="0" w:afterAutospacing="0" w:line="360" w:lineRule="auto"/>
              <w:ind w:hanging="2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用于公式内部的连接符、等号或逻辑运算符号，起到“分清公式层次”的作用。</w:t>
            </w:r>
          </w:p>
          <w:p w14:paraId="4B9AFD31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i/>
                <w:iCs/>
                <w:color w:val="2C2C2B"/>
              </w:rPr>
              <w:t>例：</w:t>
            </w:r>
            <w:r>
              <w:rPr>
                <w:rFonts w:hint="eastAsia" w:asciiTheme="minorEastAsia" w:hAnsiTheme="minorEastAsia" w:cstheme="minorEastAsia"/>
              </w:rPr>
              <w:drawing>
                <wp:inline distT="0" distB="0" distL="114300" distR="114300">
                  <wp:extent cx="113665" cy="158750"/>
                  <wp:effectExtent l="0" t="0" r="635" b="3175"/>
                  <wp:docPr id="3" name="IM 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cstheme="minorEastAsia"/>
                <w:i/>
                <w:iCs/>
                <w:color w:val="2C2C2B"/>
              </w:rPr>
              <w:t>”~ 等于~“log a”</w:t>
            </w:r>
          </w:p>
        </w:tc>
      </w:tr>
      <w:tr w14:paraId="21C3D3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</w:trPr>
        <w:tc>
          <w:tcPr>
            <w:tcW w:w="1893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7FA1FB92">
            <w:pPr>
              <w:pStyle w:val="3"/>
              <w:widowControl/>
              <w:spacing w:beforeAutospacing="0" w:afterAutospacing="0" w:line="360" w:lineRule="auto"/>
              <w:ind w:firstLine="70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~~（双波浪号）</w:t>
            </w:r>
          </w:p>
        </w:tc>
        <w:tc>
          <w:tcPr>
            <w:tcW w:w="1840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043D103F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中度停顿</w:t>
            </w:r>
          </w:p>
        </w:tc>
        <w:tc>
          <w:tcPr>
            <w:tcW w:w="2364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</w:tcPr>
          <w:p w14:paraId="35A4EC45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C2C2B"/>
              </w:rPr>
              <w:t>300 –500ms</w:t>
            </w:r>
          </w:p>
        </w:tc>
        <w:tc>
          <w:tcPr>
            <w:tcW w:w="3629" w:type="dxa"/>
            <w:tcBorders>
              <w:top w:val="single" w:color="171A1D" w:sz="6" w:space="0"/>
              <w:left w:val="single" w:color="171A1D" w:sz="6" w:space="0"/>
              <w:bottom w:val="single" w:color="171A1D" w:sz="6" w:space="0"/>
              <w:right w:val="single" w:color="171A1D" w:sz="6" w:space="0"/>
            </w:tcBorders>
            <w:shd w:val="clear" w:color="auto" w:fill="FFFFFF"/>
            <w:vAlign w:val="center"/>
          </w:tcPr>
          <w:p w14:paraId="1308F36D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color w:val="2C2C2B"/>
              </w:rPr>
              <w:t>用于句子与公式之间、条件与结论之间、或者长公式的逻辑分段处，给听众思考时间。</w:t>
            </w:r>
          </w:p>
          <w:p w14:paraId="596F66B3">
            <w:pPr>
              <w:pStyle w:val="3"/>
              <w:widowControl/>
              <w:spacing w:beforeAutospacing="0" w:afterAutospacing="0" w:line="360" w:lineRule="auto"/>
              <w:textAlignment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i/>
                <w:iCs/>
                <w:color w:val="2C2C2B"/>
              </w:rPr>
              <w:t xml:space="preserve">例：若 ~~ 则 </w:t>
            </w:r>
          </w:p>
        </w:tc>
      </w:tr>
    </w:tbl>
    <w:p w14:paraId="70965DC5">
      <w:pPr>
        <w:widowControl/>
        <w:spacing w:line="360" w:lineRule="auto"/>
        <w:jc w:val="left"/>
        <w:rPr>
          <w:rFonts w:asciiTheme="minorEastAsia" w:hAnsiTheme="minorEastAsia" w:cstheme="minorEastAsia"/>
          <w:sz w:val="24"/>
        </w:rPr>
      </w:pPr>
    </w:p>
    <w:p w14:paraId="53984135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</w:p>
    <w:p w14:paraId="130A64CD">
      <w:pPr>
        <w:spacing w:line="360" w:lineRule="auto"/>
        <w:rPr>
          <w:rFonts w:asciiTheme="minorEastAsia" w:hAnsiTheme="minorEastAsia" w:cstheme="minorEastAsia"/>
          <w:sz w:val="24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3CF99">
    <w:pPr>
      <w:pStyle w:val="2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1022608378" name="Text Box 3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F986D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vcN4vUAAAABAEAAA8AAAAAAAAAAQAgAAAA&#10;IgAAAGRycy9kb3ducmV2LnhtbFBLAQIUABQAAAAIAIdO4kBomPngSAIAAIsEAAAOAAAAAAAAAAEA&#10;IAAAACMBAABkcnMvZTJvRG9jLnhtbFBLBQYAAAAABgAGAFkBAADd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7A7F986D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7AD71">
    <w:pPr>
      <w:pStyle w:val="2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812365754" name="Text Box 2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85F8A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60288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73DeL1AAAAAQBAAAPAAAAAAAAAAEAIAAA&#10;ACIAAABkcnMvZG93bnJldi54bWxQSwECFAAUAAAACACHTuJAOFke/0kCAACKBAAADgAAAAAAAAAB&#10;ACAAAAAjAQAAZHJzL2Uyb0RvYy54bWxQSwUGAAAAAAYABgBZAQAA3gUAAAAA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3BF85F8A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FC0C4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90731196" name="Text Box 1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4CB4F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9w3i9QAAAAEAQAADwAAAAAAAAABACAAAAAi&#10;AAAAZHJzL2Rvd25yZXYueG1sUEsBAhQAFAAAAAgAh07iQGuyiYRHAgAAiQQAAA4AAAAAAAAAAQAg&#10;AAAAIwEAAGRycy9lMm9Eb2MueG1sUEsFBgAAAAAGAAYAWQEAANwFAAAAAA=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6724CB4F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62448E"/>
    <w:multiLevelType w:val="singleLevel"/>
    <w:tmpl w:val="AA62448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79BCE99"/>
    <w:multiLevelType w:val="singleLevel"/>
    <w:tmpl w:val="B79BCE9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0F61659"/>
    <w:multiLevelType w:val="singleLevel"/>
    <w:tmpl w:val="D0F6165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3C0C4078"/>
    <w:multiLevelType w:val="singleLevel"/>
    <w:tmpl w:val="3C0C407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ED"/>
    <w:rsid w:val="0011414F"/>
    <w:rsid w:val="001C0001"/>
    <w:rsid w:val="00694DED"/>
    <w:rsid w:val="007D2D46"/>
    <w:rsid w:val="024C2B81"/>
    <w:rsid w:val="069675E0"/>
    <w:rsid w:val="0AED40AC"/>
    <w:rsid w:val="10E723F2"/>
    <w:rsid w:val="117D4B05"/>
    <w:rsid w:val="12663B3F"/>
    <w:rsid w:val="14524707"/>
    <w:rsid w:val="14B22D17"/>
    <w:rsid w:val="1F095C2A"/>
    <w:rsid w:val="251946ED"/>
    <w:rsid w:val="26795443"/>
    <w:rsid w:val="2C025EDA"/>
    <w:rsid w:val="2EE33830"/>
    <w:rsid w:val="30297EDA"/>
    <w:rsid w:val="3BF21AC7"/>
    <w:rsid w:val="519A258E"/>
    <w:rsid w:val="56981066"/>
    <w:rsid w:val="5B8F2A37"/>
    <w:rsid w:val="5FB54A36"/>
    <w:rsid w:val="602A2D2E"/>
    <w:rsid w:val="62C531E2"/>
    <w:rsid w:val="6A576E16"/>
    <w:rsid w:val="6F377216"/>
    <w:rsid w:val="73EB6821"/>
    <w:rsid w:val="77D00208"/>
    <w:rsid w:val="7B38059E"/>
    <w:rsid w:val="7D7A4E9D"/>
    <w:rsid w:val="7E68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6">
    <w:name w:val="Footer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558</Words>
  <Characters>645</Characters>
  <Lines>9</Lines>
  <Paragraphs>2</Paragraphs>
  <TotalTime>1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2026-09-17T07:41:00Z</dcterms:created>
  <dc:creator>华为</dc:creator>
  <cp:lastModifiedBy>珊珊</cp:lastModifiedBy>
  <dcterms:modified xsi:type="dcterms:W3CDTF">2026-09-17T10:12:39Z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eyJoZGlkIjoiNTAzNGEyOTI3N2EyYTJhYzk2MzRhODZiYmEwMjdkODUiLCJ1c2VySWQiOiIyNDUyMDY2NzUifQ==</vt:lpwstr>
  </property>
  <property fmtid="{D5CDD505-2E9C-101B-9397-08002B2CF9AE}" pid="4" name="ICV">
    <vt:lpwstr>EB01679C057B4BACBEF0CE36B5A4A0F0_12</vt:lpwstr>
  </property>
  <property fmtid="{D5CDD505-2E9C-101B-9397-08002B2CF9AE}" pid="5" name="ClassificationContentMarkingFooterShapeIds">
    <vt:lpwstr>56872bc,306bb7ba,3cf3c3fa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This content is for internal use only</vt:lpwstr>
  </property>
</Properties>
</file>